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F1" w:rsidRDefault="001847F1" w:rsidP="001847F1">
      <w:bookmarkStart w:id="0" w:name="_GoBack"/>
      <w:bookmarkEnd w:id="0"/>
    </w:p>
    <w:p w:rsidR="001847F1" w:rsidRDefault="001847F1" w:rsidP="001847F1"/>
    <w:p w:rsidR="001847F1" w:rsidRDefault="001847F1" w:rsidP="001847F1"/>
    <w:p w:rsidR="001847F1" w:rsidRDefault="001847F1" w:rsidP="001847F1"/>
    <w:p w:rsidR="001847F1" w:rsidRDefault="001847F1" w:rsidP="001847F1"/>
    <w:p w:rsidR="001847F1" w:rsidRDefault="001847F1" w:rsidP="001847F1"/>
    <w:p w:rsidR="001847F1" w:rsidRDefault="001847F1" w:rsidP="001847F1"/>
    <w:p w:rsidR="001847F1" w:rsidRDefault="001847F1" w:rsidP="001847F1"/>
    <w:p w:rsidR="001847F1" w:rsidRDefault="001847F1" w:rsidP="001847F1"/>
    <w:p w:rsidR="001847F1" w:rsidRPr="00001F11" w:rsidRDefault="001847F1" w:rsidP="001847F1">
      <w:pPr>
        <w:widowControl w:val="0"/>
        <w:autoSpaceDE w:val="0"/>
        <w:autoSpaceDN w:val="0"/>
        <w:adjustRightInd w:val="0"/>
        <w:ind w:left="450" w:right="990"/>
        <w:rPr>
          <w:rFonts w:ascii="Calibri" w:hAnsi="Calibri" w:cs="Calibri"/>
          <w:i/>
          <w:sz w:val="28"/>
          <w:szCs w:val="28"/>
        </w:rPr>
      </w:pPr>
      <w:r w:rsidRPr="00001F11">
        <w:rPr>
          <w:rFonts w:ascii="Arial Narrow" w:hAnsi="Arial Narrow" w:cs="Arial Narrow"/>
          <w:i/>
          <w:sz w:val="28"/>
          <w:szCs w:val="28"/>
        </w:rPr>
        <w:t> </w:t>
      </w:r>
    </w:p>
    <w:p w:rsidR="001847F1" w:rsidRDefault="001847F1" w:rsidP="001847F1"/>
    <w:p w:rsidR="001B3226" w:rsidRDefault="000B50E3">
      <w:pPr>
        <w:rPr>
          <w:b/>
          <w:sz w:val="32"/>
          <w:szCs w:val="32"/>
        </w:rPr>
      </w:pPr>
      <w:r w:rsidRPr="000B50E3">
        <w:rPr>
          <w:b/>
          <w:sz w:val="32"/>
          <w:szCs w:val="32"/>
        </w:rPr>
        <w:t>Memorandum</w:t>
      </w:r>
    </w:p>
    <w:p w:rsidR="000B50E3" w:rsidRDefault="000B50E3">
      <w:pPr>
        <w:rPr>
          <w:b/>
          <w:sz w:val="32"/>
          <w:szCs w:val="32"/>
        </w:rPr>
      </w:pPr>
    </w:p>
    <w:p w:rsidR="000B50E3" w:rsidRDefault="000B5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To: </w:t>
      </w:r>
      <w:r w:rsidR="008A6115">
        <w:rPr>
          <w:b/>
          <w:sz w:val="28"/>
          <w:szCs w:val="28"/>
        </w:rPr>
        <w:t xml:space="preserve">      </w:t>
      </w:r>
      <w:r w:rsidR="009E7D06">
        <w:rPr>
          <w:sz w:val="28"/>
          <w:szCs w:val="28"/>
        </w:rPr>
        <w:t>Board of Adjustment</w:t>
      </w:r>
    </w:p>
    <w:p w:rsidR="000B50E3" w:rsidRDefault="000B50E3">
      <w:pPr>
        <w:rPr>
          <w:sz w:val="28"/>
          <w:szCs w:val="28"/>
        </w:rPr>
      </w:pPr>
    </w:p>
    <w:p w:rsidR="000B50E3" w:rsidRDefault="000B5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From:  </w:t>
      </w:r>
      <w:r>
        <w:rPr>
          <w:sz w:val="28"/>
          <w:szCs w:val="28"/>
        </w:rPr>
        <w:t>Patricia A. Elliot</w:t>
      </w:r>
    </w:p>
    <w:p w:rsidR="000B50E3" w:rsidRDefault="000B50E3">
      <w:pPr>
        <w:rPr>
          <w:sz w:val="28"/>
          <w:szCs w:val="28"/>
        </w:rPr>
      </w:pPr>
      <w:r>
        <w:rPr>
          <w:sz w:val="28"/>
          <w:szCs w:val="28"/>
        </w:rPr>
        <w:t xml:space="preserve">             Sr. REHS</w:t>
      </w:r>
    </w:p>
    <w:p w:rsidR="000B50E3" w:rsidRDefault="000B50E3">
      <w:pPr>
        <w:rPr>
          <w:sz w:val="28"/>
          <w:szCs w:val="28"/>
        </w:rPr>
      </w:pPr>
    </w:p>
    <w:p w:rsidR="000B50E3" w:rsidRPr="000B50E3" w:rsidRDefault="000B5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Date:  </w:t>
      </w:r>
      <w:r w:rsidR="004C47E2">
        <w:rPr>
          <w:sz w:val="28"/>
          <w:szCs w:val="28"/>
        </w:rPr>
        <w:t>May 13</w:t>
      </w:r>
      <w:r w:rsidR="009E7D06">
        <w:rPr>
          <w:sz w:val="28"/>
          <w:szCs w:val="28"/>
        </w:rPr>
        <w:t>, 2020</w:t>
      </w:r>
    </w:p>
    <w:p w:rsidR="000B50E3" w:rsidRDefault="000B50E3">
      <w:pPr>
        <w:rPr>
          <w:sz w:val="28"/>
          <w:szCs w:val="28"/>
        </w:rPr>
      </w:pPr>
    </w:p>
    <w:p w:rsidR="000B50E3" w:rsidRPr="008A6115" w:rsidRDefault="000B50E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Re:  </w:t>
      </w:r>
      <w:r w:rsidR="008A6115">
        <w:rPr>
          <w:b/>
          <w:i/>
          <w:sz w:val="28"/>
          <w:szCs w:val="28"/>
        </w:rPr>
        <w:t xml:space="preserve">   </w:t>
      </w:r>
      <w:r w:rsidR="008A6115">
        <w:rPr>
          <w:sz w:val="28"/>
          <w:szCs w:val="28"/>
        </w:rPr>
        <w:t xml:space="preserve"> </w:t>
      </w:r>
      <w:r w:rsidR="009E7D06">
        <w:rPr>
          <w:sz w:val="28"/>
          <w:szCs w:val="28"/>
        </w:rPr>
        <w:t xml:space="preserve">ZBA-19-00040 – Dada </w:t>
      </w:r>
      <w:proofErr w:type="spellStart"/>
      <w:r w:rsidR="009E7D06">
        <w:rPr>
          <w:sz w:val="28"/>
          <w:szCs w:val="28"/>
        </w:rPr>
        <w:t>Bhagwan</w:t>
      </w:r>
      <w:proofErr w:type="spellEnd"/>
      <w:r w:rsidR="009E7D06">
        <w:rPr>
          <w:sz w:val="28"/>
          <w:szCs w:val="28"/>
        </w:rPr>
        <w:t xml:space="preserve"> </w:t>
      </w:r>
      <w:proofErr w:type="spellStart"/>
      <w:r w:rsidR="009E7D06">
        <w:rPr>
          <w:sz w:val="28"/>
          <w:szCs w:val="28"/>
        </w:rPr>
        <w:t>Vignan</w:t>
      </w:r>
      <w:proofErr w:type="spellEnd"/>
      <w:r w:rsidR="009E7D06">
        <w:rPr>
          <w:sz w:val="28"/>
          <w:szCs w:val="28"/>
        </w:rPr>
        <w:t xml:space="preserve"> Institute – 37.02/46.03</w:t>
      </w:r>
    </w:p>
    <w:p w:rsidR="000B50E3" w:rsidRDefault="000B50E3">
      <w:pPr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</w:t>
      </w:r>
    </w:p>
    <w:p w:rsidR="000B50E3" w:rsidRDefault="000B50E3">
      <w:pPr>
        <w:rPr>
          <w:sz w:val="28"/>
          <w:szCs w:val="28"/>
        </w:rPr>
      </w:pPr>
    </w:p>
    <w:p w:rsidR="004C47E2" w:rsidRDefault="004C47E2">
      <w:pPr>
        <w:rPr>
          <w:sz w:val="28"/>
          <w:szCs w:val="28"/>
        </w:rPr>
      </w:pPr>
      <w:r>
        <w:rPr>
          <w:sz w:val="28"/>
          <w:szCs w:val="28"/>
        </w:rPr>
        <w:t>Comments are the same as January 7, 2020.</w:t>
      </w:r>
    </w:p>
    <w:p w:rsidR="004C47E2" w:rsidRDefault="004C47E2">
      <w:pPr>
        <w:rPr>
          <w:sz w:val="28"/>
          <w:szCs w:val="28"/>
        </w:rPr>
      </w:pPr>
    </w:p>
    <w:p w:rsidR="008A6115" w:rsidRDefault="008A6115">
      <w:pPr>
        <w:rPr>
          <w:sz w:val="28"/>
          <w:szCs w:val="28"/>
        </w:rPr>
      </w:pPr>
      <w:r>
        <w:rPr>
          <w:sz w:val="28"/>
          <w:szCs w:val="28"/>
        </w:rPr>
        <w:t>The Health Department has no objection to this application.</w:t>
      </w:r>
      <w:r w:rsidR="009E7D06">
        <w:rPr>
          <w:sz w:val="28"/>
          <w:szCs w:val="28"/>
        </w:rPr>
        <w:t xml:space="preserve">  Permeability tests were conducted for the proposed septic design with passing results.  The proposed septic design was denied as insufficient information was provided to the Health Department. </w:t>
      </w:r>
    </w:p>
    <w:p w:rsidR="009E7D06" w:rsidRDefault="009E7D06">
      <w:pPr>
        <w:rPr>
          <w:sz w:val="28"/>
          <w:szCs w:val="28"/>
        </w:rPr>
      </w:pPr>
    </w:p>
    <w:p w:rsidR="009E7D06" w:rsidRPr="000B50E3" w:rsidRDefault="009E7D06">
      <w:pPr>
        <w:rPr>
          <w:sz w:val="28"/>
          <w:szCs w:val="28"/>
        </w:rPr>
      </w:pPr>
      <w:r>
        <w:rPr>
          <w:sz w:val="28"/>
          <w:szCs w:val="28"/>
        </w:rPr>
        <w:t>The Health Department must approve the design for the septic system as well as the proposed kitchen prior to construction permits being issued.</w:t>
      </w:r>
    </w:p>
    <w:sectPr w:rsidR="009E7D06" w:rsidRPr="000B50E3" w:rsidSect="00B32E11">
      <w:headerReference w:type="first" r:id="rId8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86" w:rsidRDefault="00502A7B">
      <w:r>
        <w:separator/>
      </w:r>
    </w:p>
  </w:endnote>
  <w:endnote w:type="continuationSeparator" w:id="0">
    <w:p w:rsidR="00E44C86" w:rsidRDefault="0050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86" w:rsidRDefault="00502A7B">
      <w:r>
        <w:separator/>
      </w:r>
    </w:p>
  </w:footnote>
  <w:footnote w:type="continuationSeparator" w:id="0">
    <w:p w:rsidR="00E44C86" w:rsidRDefault="00502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2D" w:rsidRPr="00E84FDD" w:rsidRDefault="001847F1" w:rsidP="00E84FDD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829D2B" wp14:editId="5DD46B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licHealth&amp;SafetyDEPT_BrandLtrhd2017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6CC2"/>
    <w:multiLevelType w:val="hybridMultilevel"/>
    <w:tmpl w:val="3B384D50"/>
    <w:lvl w:ilvl="0" w:tplc="04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8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8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8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F1"/>
    <w:rsid w:val="000B50E3"/>
    <w:rsid w:val="00105CF7"/>
    <w:rsid w:val="001847F1"/>
    <w:rsid w:val="001B3226"/>
    <w:rsid w:val="002C7472"/>
    <w:rsid w:val="004B5C75"/>
    <w:rsid w:val="004C47E2"/>
    <w:rsid w:val="00502A7B"/>
    <w:rsid w:val="008A6115"/>
    <w:rsid w:val="009E7D06"/>
    <w:rsid w:val="00CD0C41"/>
    <w:rsid w:val="00E4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F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F1"/>
    <w:rPr>
      <w:rFonts w:eastAsiaTheme="minorEastAsia"/>
      <w:sz w:val="24"/>
      <w:szCs w:val="24"/>
    </w:rPr>
  </w:style>
  <w:style w:type="paragraph" w:customStyle="1" w:styleId="Default">
    <w:name w:val="Default"/>
    <w:rsid w:val="00184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4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F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7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F1"/>
    <w:rPr>
      <w:rFonts w:eastAsiaTheme="minorEastAsia"/>
      <w:sz w:val="24"/>
      <w:szCs w:val="24"/>
    </w:rPr>
  </w:style>
  <w:style w:type="paragraph" w:customStyle="1" w:styleId="Default">
    <w:name w:val="Default"/>
    <w:rsid w:val="001847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4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Weinman</dc:creator>
  <cp:lastModifiedBy>Christine Woodbury</cp:lastModifiedBy>
  <cp:revision>2</cp:revision>
  <cp:lastPrinted>2020-05-14T09:21:00Z</cp:lastPrinted>
  <dcterms:created xsi:type="dcterms:W3CDTF">2020-05-14T09:22:00Z</dcterms:created>
  <dcterms:modified xsi:type="dcterms:W3CDTF">2020-05-14T09:22:00Z</dcterms:modified>
</cp:coreProperties>
</file>